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28"/>
      </w:tblGrid>
      <w:tr w:rsidR="00FA5BA1" w:rsidRPr="00E82E48" w:rsidTr="008B601E">
        <w:tc>
          <w:tcPr>
            <w:tcW w:w="4614" w:type="dxa"/>
          </w:tcPr>
          <w:p w:rsidR="00FA5BA1" w:rsidRPr="00E82E48" w:rsidRDefault="00FA5BA1" w:rsidP="008B601E">
            <w:pPr>
              <w:rPr>
                <w:rFonts w:ascii="Calibri" w:eastAsia="Calibri" w:hAnsi="Calibri" w:cs="Mangal"/>
                <w:sz w:val="28"/>
                <w:szCs w:val="28"/>
              </w:rPr>
            </w:pPr>
            <w:bookmarkStart w:id="0" w:name="_GoBack"/>
            <w:bookmarkEnd w:id="0"/>
            <w:r w:rsidRPr="00E82E48">
              <w:rPr>
                <w:rFonts w:ascii="Calibri" w:eastAsia="Calibri" w:hAnsi="Calibri" w:cs="Mangal"/>
                <w:noProof/>
                <w:sz w:val="28"/>
                <w:szCs w:val="28"/>
              </w:rPr>
              <w:drawing>
                <wp:inline distT="0" distB="0" distL="0" distR="0" wp14:anchorId="061738E4" wp14:editId="43EE333B">
                  <wp:extent cx="482112" cy="641839"/>
                  <wp:effectExtent l="19050" t="0" r="0" b="0"/>
                  <wp:docPr id="1" name="Picture 1" descr="C:\Users\HCI-@@@3\Pictures\embl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I-@@@3\Pictures\emble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90" cy="64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FA5BA1" w:rsidRPr="00E82E48" w:rsidRDefault="00FA5BA1" w:rsidP="008B601E">
            <w:pPr>
              <w:jc w:val="right"/>
              <w:rPr>
                <w:rFonts w:ascii="Calibri" w:eastAsia="Calibri" w:hAnsi="Calibri" w:cs="Mangal"/>
                <w:b/>
                <w:sz w:val="28"/>
                <w:szCs w:val="28"/>
              </w:rPr>
            </w:pPr>
            <w:r w:rsidRPr="00E82E48">
              <w:rPr>
                <w:rFonts w:ascii="Calibri" w:eastAsia="Calibri" w:hAnsi="Calibri" w:cs="Mangal"/>
                <w:b/>
                <w:sz w:val="28"/>
                <w:szCs w:val="28"/>
              </w:rPr>
              <w:t>High Commission of India</w:t>
            </w:r>
          </w:p>
          <w:p w:rsidR="00FA5BA1" w:rsidRPr="00E82E48" w:rsidRDefault="00FA5BA1" w:rsidP="008B601E">
            <w:pPr>
              <w:jc w:val="right"/>
              <w:rPr>
                <w:rFonts w:ascii="Calibri" w:eastAsia="Calibri" w:hAnsi="Calibri" w:cs="Mangal"/>
                <w:b/>
                <w:sz w:val="28"/>
                <w:szCs w:val="28"/>
              </w:rPr>
            </w:pPr>
            <w:r w:rsidRPr="00E82E48">
              <w:rPr>
                <w:rFonts w:ascii="Calibri" w:eastAsia="Calibri" w:hAnsi="Calibri" w:cs="Mangal"/>
                <w:b/>
                <w:sz w:val="28"/>
                <w:szCs w:val="28"/>
              </w:rPr>
              <w:t>LILONGWE, Malawi</w:t>
            </w:r>
          </w:p>
          <w:p w:rsidR="00FA5BA1" w:rsidRPr="00E82E48" w:rsidRDefault="00FA5BA1" w:rsidP="008B601E">
            <w:pPr>
              <w:jc w:val="right"/>
              <w:rPr>
                <w:rFonts w:ascii="Calibri" w:eastAsia="Calibri" w:hAnsi="Calibri" w:cs="Mangal"/>
                <w:sz w:val="28"/>
                <w:szCs w:val="28"/>
              </w:rPr>
            </w:pPr>
            <w:r w:rsidRPr="00E82E48">
              <w:rPr>
                <w:rFonts w:ascii="Calibri" w:eastAsia="Calibri" w:hAnsi="Calibri" w:cs="Mangal"/>
                <w:sz w:val="28"/>
                <w:szCs w:val="28"/>
              </w:rPr>
              <w:t>Tel: +265 1750011, 1755337</w:t>
            </w:r>
          </w:p>
          <w:p w:rsidR="00FA5BA1" w:rsidRPr="00E82E48" w:rsidRDefault="00FA5BA1" w:rsidP="008B601E">
            <w:pPr>
              <w:jc w:val="right"/>
              <w:rPr>
                <w:rFonts w:ascii="Calibri" w:eastAsia="Calibri" w:hAnsi="Calibri" w:cs="Mangal"/>
                <w:sz w:val="28"/>
                <w:szCs w:val="28"/>
              </w:rPr>
            </w:pPr>
            <w:r w:rsidRPr="00E82E48">
              <w:rPr>
                <w:rFonts w:ascii="Calibri" w:eastAsia="Calibri" w:hAnsi="Calibri" w:cs="Mangal"/>
                <w:sz w:val="28"/>
                <w:szCs w:val="28"/>
              </w:rPr>
              <w:t>Fax: +265 1755346</w:t>
            </w:r>
          </w:p>
        </w:tc>
      </w:tr>
    </w:tbl>
    <w:p w:rsidR="00FA5BA1" w:rsidRPr="00E82E48" w:rsidRDefault="00FA5BA1" w:rsidP="00FA5BA1">
      <w:pPr>
        <w:jc w:val="center"/>
        <w:rPr>
          <w:sz w:val="28"/>
          <w:szCs w:val="28"/>
        </w:rPr>
      </w:pPr>
    </w:p>
    <w:p w:rsidR="00FA5BA1" w:rsidRPr="00E82E48" w:rsidRDefault="00FA5BA1" w:rsidP="00FA5BA1">
      <w:pPr>
        <w:jc w:val="center"/>
        <w:rPr>
          <w:b/>
          <w:bCs/>
          <w:sz w:val="28"/>
          <w:szCs w:val="28"/>
          <w:u w:val="single"/>
        </w:rPr>
      </w:pPr>
      <w:r w:rsidRPr="00E82E48">
        <w:rPr>
          <w:b/>
          <w:bCs/>
          <w:sz w:val="28"/>
          <w:szCs w:val="28"/>
          <w:u w:val="single"/>
        </w:rPr>
        <w:t>ADVISORY ON INDIAN CURRENCY</w:t>
      </w:r>
    </w:p>
    <w:p w:rsidR="00FA5BA1" w:rsidRPr="00E82E48" w:rsidRDefault="00FA5BA1" w:rsidP="00FA5BA1">
      <w:pPr>
        <w:jc w:val="center"/>
        <w:rPr>
          <w:b/>
          <w:bCs/>
          <w:sz w:val="28"/>
          <w:szCs w:val="28"/>
          <w:u w:val="single"/>
        </w:rPr>
      </w:pPr>
    </w:p>
    <w:p w:rsidR="003328F4" w:rsidRDefault="00FA5BA1" w:rsidP="00E82E48">
      <w:pPr>
        <w:jc w:val="both"/>
        <w:rPr>
          <w:sz w:val="28"/>
          <w:szCs w:val="28"/>
        </w:rPr>
      </w:pPr>
      <w:r w:rsidRPr="00E82E48">
        <w:rPr>
          <w:sz w:val="28"/>
          <w:szCs w:val="28"/>
        </w:rPr>
        <w:tab/>
        <w:t xml:space="preserve">The Government of India decided to demonetize/withdraw the Indian currency notes of the denomination of </w:t>
      </w:r>
      <w:proofErr w:type="spellStart"/>
      <w:r w:rsidRPr="00E82E48">
        <w:rPr>
          <w:sz w:val="28"/>
          <w:szCs w:val="28"/>
        </w:rPr>
        <w:t>Rs</w:t>
      </w:r>
      <w:proofErr w:type="spellEnd"/>
      <w:r w:rsidRPr="00E82E48">
        <w:rPr>
          <w:sz w:val="28"/>
          <w:szCs w:val="28"/>
        </w:rPr>
        <w:t xml:space="preserve">. 500/- and </w:t>
      </w:r>
      <w:proofErr w:type="spellStart"/>
      <w:r w:rsidRPr="00E82E48">
        <w:rPr>
          <w:sz w:val="28"/>
          <w:szCs w:val="28"/>
        </w:rPr>
        <w:t>Rs</w:t>
      </w:r>
      <w:proofErr w:type="spellEnd"/>
      <w:r w:rsidRPr="00E82E48">
        <w:rPr>
          <w:sz w:val="28"/>
          <w:szCs w:val="28"/>
        </w:rPr>
        <w:t>. 1000/- with effect from 9</w:t>
      </w:r>
      <w:r w:rsidRPr="00E82E48">
        <w:rPr>
          <w:sz w:val="28"/>
          <w:szCs w:val="28"/>
          <w:vertAlign w:val="superscript"/>
        </w:rPr>
        <w:t>th</w:t>
      </w:r>
      <w:r w:rsidRPr="00E82E48">
        <w:rPr>
          <w:sz w:val="28"/>
          <w:szCs w:val="28"/>
        </w:rPr>
        <w:t xml:space="preserve"> November 2016. It may be brought to the notice of all Indian nationals and other holding Indian currency notes overseas legitimately</w:t>
      </w:r>
      <w:r w:rsidR="00A021FE">
        <w:rPr>
          <w:sz w:val="28"/>
          <w:szCs w:val="28"/>
        </w:rPr>
        <w:t>,</w:t>
      </w:r>
      <w:r w:rsidRPr="00E82E48">
        <w:rPr>
          <w:sz w:val="28"/>
          <w:szCs w:val="28"/>
        </w:rPr>
        <w:t xml:space="preserve"> </w:t>
      </w:r>
      <w:r w:rsidR="00841584" w:rsidRPr="00E82E48">
        <w:rPr>
          <w:sz w:val="28"/>
          <w:szCs w:val="28"/>
        </w:rPr>
        <w:t xml:space="preserve">that they do not need to panic with regard to such currency in their possession.  The Government of India assures them that a rather long window for exchange of these currency notes </w:t>
      </w:r>
      <w:r w:rsidR="00A54F6B">
        <w:rPr>
          <w:sz w:val="28"/>
          <w:szCs w:val="28"/>
        </w:rPr>
        <w:t xml:space="preserve">has been </w:t>
      </w:r>
      <w:r w:rsidR="00841584" w:rsidRPr="00E82E48">
        <w:rPr>
          <w:sz w:val="28"/>
          <w:szCs w:val="28"/>
        </w:rPr>
        <w:t>provided to them</w:t>
      </w:r>
      <w:r w:rsidR="00A54F6B">
        <w:rPr>
          <w:sz w:val="28"/>
          <w:szCs w:val="28"/>
        </w:rPr>
        <w:t xml:space="preserve"> i.e. up</w:t>
      </w:r>
      <w:r w:rsidR="003328F4">
        <w:rPr>
          <w:sz w:val="28"/>
          <w:szCs w:val="28"/>
        </w:rPr>
        <w:t xml:space="preserve"> </w:t>
      </w:r>
      <w:r w:rsidR="00A54F6B">
        <w:rPr>
          <w:sz w:val="28"/>
          <w:szCs w:val="28"/>
        </w:rPr>
        <w:t>to 30</w:t>
      </w:r>
      <w:r w:rsidR="00A54F6B" w:rsidRPr="00A54F6B">
        <w:rPr>
          <w:sz w:val="28"/>
          <w:szCs w:val="28"/>
          <w:vertAlign w:val="superscript"/>
        </w:rPr>
        <w:t>th</w:t>
      </w:r>
      <w:r w:rsidR="00A54F6B">
        <w:rPr>
          <w:sz w:val="28"/>
          <w:szCs w:val="28"/>
        </w:rPr>
        <w:t xml:space="preserve"> December 2016</w:t>
      </w:r>
      <w:r w:rsidR="00841584" w:rsidRPr="00E82E48">
        <w:rPr>
          <w:sz w:val="28"/>
          <w:szCs w:val="28"/>
        </w:rPr>
        <w:t xml:space="preserve">.  </w:t>
      </w:r>
    </w:p>
    <w:p w:rsidR="00FA5BA1" w:rsidRPr="00E82E48" w:rsidRDefault="003328F4" w:rsidP="00E82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584" w:rsidRPr="00E82E48">
        <w:rPr>
          <w:sz w:val="28"/>
          <w:szCs w:val="28"/>
        </w:rPr>
        <w:t xml:space="preserve">They are advised to keep looking for Government of India announcements including information from the High Commission in this regard. </w:t>
      </w:r>
      <w:r>
        <w:rPr>
          <w:sz w:val="28"/>
          <w:szCs w:val="28"/>
        </w:rPr>
        <w:t xml:space="preserve"> It may also be mentioned that Indians are allowed to carry up to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25,000/- in currency notes while travelling abroad.  Facilities to convert Indian currency have been provided at the airports</w:t>
      </w:r>
      <w:r w:rsidR="00A021FE">
        <w:rPr>
          <w:sz w:val="28"/>
          <w:szCs w:val="28"/>
        </w:rPr>
        <w:t>, with</w:t>
      </w:r>
      <w:r>
        <w:rPr>
          <w:sz w:val="28"/>
          <w:szCs w:val="28"/>
        </w:rPr>
        <w:t>in the legally permissible limits.</w:t>
      </w:r>
    </w:p>
    <w:p w:rsidR="00E82E48" w:rsidRDefault="00E82E48" w:rsidP="00E82E48">
      <w:pPr>
        <w:jc w:val="center"/>
        <w:rPr>
          <w:sz w:val="28"/>
          <w:szCs w:val="28"/>
        </w:rPr>
      </w:pPr>
      <w:r w:rsidRPr="00E82E48">
        <w:rPr>
          <w:sz w:val="28"/>
          <w:szCs w:val="28"/>
        </w:rPr>
        <w:t>*****</w:t>
      </w:r>
    </w:p>
    <w:p w:rsidR="00A021FE" w:rsidRDefault="00A021FE" w:rsidP="00E82E48">
      <w:pPr>
        <w:jc w:val="center"/>
        <w:rPr>
          <w:sz w:val="28"/>
          <w:szCs w:val="28"/>
        </w:rPr>
      </w:pPr>
    </w:p>
    <w:p w:rsidR="00A021FE" w:rsidRDefault="00A021FE" w:rsidP="00E82E48">
      <w:pPr>
        <w:jc w:val="center"/>
        <w:rPr>
          <w:sz w:val="28"/>
          <w:szCs w:val="28"/>
        </w:rPr>
      </w:pPr>
    </w:p>
    <w:p w:rsidR="00A021FE" w:rsidRPr="00E82E48" w:rsidRDefault="00A021FE" w:rsidP="00A021FE">
      <w:pPr>
        <w:jc w:val="right"/>
        <w:rPr>
          <w:sz w:val="28"/>
          <w:szCs w:val="28"/>
        </w:rPr>
      </w:pPr>
    </w:p>
    <w:sectPr w:rsidR="00A021FE" w:rsidRPr="00E82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EA" w:rsidRDefault="00B339EA" w:rsidP="00A021FE">
      <w:pPr>
        <w:spacing w:after="0" w:line="240" w:lineRule="auto"/>
      </w:pPr>
      <w:r>
        <w:separator/>
      </w:r>
    </w:p>
  </w:endnote>
  <w:endnote w:type="continuationSeparator" w:id="0">
    <w:p w:rsidR="00B339EA" w:rsidRDefault="00B339EA" w:rsidP="00A0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EA" w:rsidRDefault="00B339EA" w:rsidP="00A021FE">
      <w:pPr>
        <w:spacing w:after="0" w:line="240" w:lineRule="auto"/>
      </w:pPr>
      <w:r>
        <w:separator/>
      </w:r>
    </w:p>
  </w:footnote>
  <w:footnote w:type="continuationSeparator" w:id="0">
    <w:p w:rsidR="00B339EA" w:rsidRDefault="00B339EA" w:rsidP="00A0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A1"/>
    <w:rsid w:val="00233327"/>
    <w:rsid w:val="003328F4"/>
    <w:rsid w:val="005575AC"/>
    <w:rsid w:val="00841584"/>
    <w:rsid w:val="00A021FE"/>
    <w:rsid w:val="00A54F6B"/>
    <w:rsid w:val="00B339EA"/>
    <w:rsid w:val="00E82E48"/>
    <w:rsid w:val="00ED7526"/>
    <w:rsid w:val="00FA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A5BA1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A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B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1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A0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FE"/>
  </w:style>
  <w:style w:type="paragraph" w:styleId="Footer">
    <w:name w:val="footer"/>
    <w:basedOn w:val="Normal"/>
    <w:link w:val="FooterChar"/>
    <w:uiPriority w:val="99"/>
    <w:unhideWhenUsed/>
    <w:rsid w:val="00A0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A5BA1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A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B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1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A0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FE"/>
  </w:style>
  <w:style w:type="paragraph" w:styleId="Footer">
    <w:name w:val="footer"/>
    <w:basedOn w:val="Normal"/>
    <w:link w:val="FooterChar"/>
    <w:uiPriority w:val="99"/>
    <w:unhideWhenUsed/>
    <w:rsid w:val="00A0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ihc2</dc:creator>
  <cp:lastModifiedBy>HCI-Lilongwe</cp:lastModifiedBy>
  <cp:revision>2</cp:revision>
  <cp:lastPrinted>2016-11-11T09:38:00Z</cp:lastPrinted>
  <dcterms:created xsi:type="dcterms:W3CDTF">2016-11-11T14:50:00Z</dcterms:created>
  <dcterms:modified xsi:type="dcterms:W3CDTF">2016-11-11T14:50:00Z</dcterms:modified>
</cp:coreProperties>
</file>